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58"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MANCHESTER KEITH S</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Roivant Sciences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ROIV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ROIVANT SCIENCES LTD.</w:t>
            </w:r>
          </w:p>
        </w:tc>
        <w:tc>
          <w:tcPr>
            <w:tcW w:w="124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7TH FLOOR, 50 BROADWAY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58"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SW1H 0DB</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5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vMerge w:val="restart"/>
          </w:tcPr>
          <w:p>
            <w:pPr>
              <w:jc w:val="center"/>
              <w:ind w:left="522"/>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300,783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14,826,546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vMerge w:val="restart"/>
          </w:tcPr>
          <w:p>
            <w:pPr>
              <w:jc w:val="center"/>
              <w:ind w:left="522"/>
              <w:spacing w:after="0"/>
              <w:rPr>
                <w:sz w:val="20"/>
                <w:szCs w:val="20"/>
                <w:color w:val="auto"/>
              </w:rPr>
            </w:pPr>
            <w:r>
              <w:rPr>
                <w:rFonts w:ascii="Times New Roman" w:cs="Times New Roman" w:eastAsia="Times New Roman" w:hAnsi="Times New Roman"/>
                <w:sz w:val="17"/>
                <w:szCs w:val="17"/>
                <w:color w:val="0000FF"/>
              </w:rPr>
              <w:t>06/26/2026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14,501,546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vMerge w:val="restart"/>
          </w:tcPr>
          <w:p>
            <w:pPr>
              <w:jc w:val="center"/>
              <w:ind w:left="522"/>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14,301,546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vMerge w:val="restart"/>
          </w:tcPr>
          <w:p>
            <w:pPr>
              <w:jc w:val="center"/>
              <w:ind w:left="522"/>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13,701,546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vMerge w:val="restart"/>
          </w:tcPr>
          <w:p>
            <w:pPr>
              <w:jc w:val="center"/>
              <w:ind w:left="522"/>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35.28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13,689,166</w:t>
            </w:r>
          </w:p>
        </w:tc>
        <w:tc>
          <w:tcPr>
            <w:tcW w:w="9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1,748,403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9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80" w:type="dxa"/>
            <w:vAlign w:val="bottom"/>
            <w:gridSpan w:val="15"/>
          </w:tcPr>
          <w:p>
            <w:pPr>
              <w:jc w:val="center"/>
              <w:ind w:right="94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60" w:type="dxa"/>
            <w:vAlign w:val="bottom"/>
          </w:tcPr>
          <w:p>
            <w:pPr>
              <w:ind w:left="10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gridSpan w:val="2"/>
          </w:tcPr>
          <w:p>
            <w:pPr>
              <w:spacing w:after="0" w:line="80" w:lineRule="exact"/>
              <w:rPr>
                <w:sz w:val="20"/>
                <w:szCs w:val="20"/>
                <w:color w:val="auto"/>
              </w:rPr>
            </w:pPr>
            <w:r>
              <w:rPr>
                <w:rFonts w:ascii="Arial" w:cs="Arial" w:eastAsia="Arial" w:hAnsi="Arial"/>
                <w:sz w:val="8"/>
                <w:szCs w:val="8"/>
                <w:b w:val="1"/>
                <w:bCs w:val="1"/>
                <w:color w:val="auto"/>
              </w:rPr>
              <w:t>Derivative</w:t>
            </w:r>
          </w:p>
        </w:tc>
        <w:tc>
          <w:tcPr>
            <w:tcW w:w="1020" w:type="dxa"/>
            <w:vAlign w:val="bottom"/>
            <w:gridSpan w:val="3"/>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0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740" w:type="dxa"/>
            <w:vAlign w:val="bottom"/>
          </w:tcPr>
          <w:p>
            <w:pPr>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8"/>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Security</w:t>
            </w:r>
          </w:p>
        </w:tc>
        <w:tc>
          <w:tcPr>
            <w:tcW w:w="10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1"/>
              </w:rPr>
              <w:t>6Date.Date ExercisableExpirandtion</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7. Title ofand</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w w:val="74"/>
              </w:rPr>
              <w:t>TransactionCodeV</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of(A)   (D)</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89"/>
              </w:rPr>
              <w:t>ExpirationercisableDateDate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80"/>
              </w:rPr>
              <w:t>AmountTitleSharesof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2"/>
                <w:szCs w:val="12"/>
                <w:b w:val="1"/>
                <w:bCs w:val="1"/>
                <w:color w:val="auto"/>
                <w:w w:val="70"/>
              </w:rPr>
              <w:t>Explanation</w:t>
            </w:r>
            <w:r>
              <w:rPr>
                <w:rFonts w:ascii="Arial" w:cs="Arial" w:eastAsia="Arial" w:hAnsi="Arial"/>
                <w:sz w:val="10"/>
                <w:szCs w:val="10"/>
                <w:b w:val="1"/>
                <w:bCs w:val="1"/>
                <w:color w:val="auto"/>
                <w:w w:val="70"/>
              </w:rPr>
              <w:t>(Instr.3)</w:t>
            </w:r>
          </w:p>
        </w:tc>
        <w:tc>
          <w:tcPr>
            <w:tcW w:w="162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rPr>
              <w:t>Price</w:t>
            </w:r>
            <w:r>
              <w:rPr>
                <w:rFonts w:ascii="Arial" w:cs="Arial" w:eastAsia="Arial" w:hAnsi="Arial"/>
                <w:sz w:val="13"/>
                <w:szCs w:val="13"/>
                <w:b w:val="1"/>
                <w:bCs w:val="1"/>
                <w:color w:val="auto"/>
              </w:rPr>
              <w:t>ofResponses:</w:t>
            </w:r>
            <w:r>
              <w:rPr>
                <w:rFonts w:ascii="Arial" w:cs="Arial" w:eastAsia="Arial" w:hAnsi="Arial"/>
                <w:sz w:val="12"/>
                <w:szCs w:val="12"/>
                <w:b w:val="1"/>
                <w:bCs w:val="1"/>
                <w:color w:val="auto"/>
              </w:rPr>
              <w:t>of</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8)</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(Instr. 5)</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1080" w:type="dxa"/>
            <w:vAlign w:val="bottom"/>
            <w:gridSpan w:val="20"/>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reporting person is a shareholder of QVT Financial Investment Cayman Ltd. ("QVT FIC") but does not have any voting or investment control over QVT FIC. The reporting person disclaims</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Security</w:t>
            </w: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(A) or</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Security (Instr.</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gridSpan w:val="3"/>
          </w:tcPr>
          <w:p>
            <w:pPr>
              <w:ind w:left="80"/>
              <w:spacing w:after="0" w:line="67" w:lineRule="exact"/>
              <w:rPr>
                <w:sz w:val="20"/>
                <w:szCs w:val="20"/>
                <w:color w:val="auto"/>
              </w:rPr>
            </w:pPr>
            <w:r>
              <w:rPr>
                <w:rFonts w:ascii="Arial" w:cs="Arial" w:eastAsia="Arial" w:hAnsi="Arial"/>
                <w:sz w:val="7"/>
                <w:szCs w:val="7"/>
                <w:b w:val="1"/>
                <w:bCs w:val="1"/>
                <w:color w:val="auto"/>
              </w:rPr>
              <w:t>Following</w:t>
            </w:r>
          </w:p>
        </w:tc>
        <w:tc>
          <w:tcPr>
            <w:tcW w:w="70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(I) (Instr. 4)</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1080" w:type="dxa"/>
            <w:vAlign w:val="bottom"/>
            <w:gridSpan w:val="20"/>
          </w:tcPr>
          <w:p>
            <w:pPr>
              <w:ind w:left="40"/>
              <w:spacing w:after="0" w:line="80" w:lineRule="exact"/>
              <w:rPr>
                <w:sz w:val="20"/>
                <w:szCs w:val="20"/>
                <w:color w:val="auto"/>
              </w:rPr>
            </w:pPr>
            <w:r>
              <w:rPr>
                <w:rFonts w:ascii="Times New Roman" w:cs="Times New Roman" w:eastAsia="Times New Roman" w:hAnsi="Times New Roman"/>
                <w:sz w:val="9"/>
                <w:szCs w:val="9"/>
                <w:color w:val="008000"/>
              </w:rPr>
              <w:t>beneficial ownership of these securities except to the extent of his pecuniary interest therein, and the inclusion of these Common Shares in this report shall not be deemed an admission of beneficial</w:t>
            </w: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Disposed</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gridSpan w:val="3"/>
          </w:tcPr>
          <w:p>
            <w:pPr>
              <w:ind w:left="80"/>
              <w:spacing w:after="0" w:line="54" w:lineRule="exact"/>
              <w:rPr>
                <w:sz w:val="20"/>
                <w:szCs w:val="20"/>
                <w:color w:val="auto"/>
              </w:rPr>
            </w:pPr>
            <w:r>
              <w:rPr>
                <w:rFonts w:ascii="Arial" w:cs="Arial" w:eastAsia="Arial" w:hAnsi="Arial"/>
                <w:sz w:val="6"/>
                <w:szCs w:val="6"/>
                <w:b w:val="1"/>
                <w:bCs w:val="1"/>
                <w:color w:val="auto"/>
              </w:rPr>
              <w:t>Reported</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6180" w:type="dxa"/>
            <w:vAlign w:val="bottom"/>
            <w:gridSpan w:val="9"/>
          </w:tcPr>
          <w:p>
            <w:pPr>
              <w:ind w:left="40"/>
              <w:spacing w:after="0" w:line="93" w:lineRule="exact"/>
              <w:rPr>
                <w:sz w:val="20"/>
                <w:szCs w:val="20"/>
                <w:color w:val="auto"/>
              </w:rPr>
            </w:pPr>
            <w:r>
              <w:rPr>
                <w:rFonts w:ascii="Times New Roman" w:cs="Times New Roman" w:eastAsia="Times New Roman" w:hAnsi="Times New Roman"/>
                <w:sz w:val="10"/>
                <w:szCs w:val="10"/>
                <w:color w:val="008000"/>
              </w:rPr>
              <w:t>ownership of all of the reported Common Shares for purposes of Section 16 or for any other purpose.</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ind w:left="100"/>
              <w:spacing w:after="0" w:line="53" w:lineRule="exact"/>
              <w:rPr>
                <w:sz w:val="20"/>
                <w:szCs w:val="20"/>
                <w:color w:val="auto"/>
              </w:rPr>
            </w:pPr>
            <w:r>
              <w:rPr>
                <w:rFonts w:ascii="Arial" w:cs="Arial" w:eastAsia="Arial" w:hAnsi="Arial"/>
                <w:sz w:val="6"/>
                <w:szCs w:val="6"/>
                <w:b w:val="1"/>
                <w:bCs w:val="1"/>
                <w:color w:val="auto"/>
              </w:rPr>
              <w:t>of (D)</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/s/ Keith Manchester</w:t>
            </w:r>
          </w:p>
        </w:tc>
        <w:tc>
          <w:tcPr>
            <w:tcW w:w="540" w:type="dxa"/>
            <w:vAlign w:val="bottom"/>
          </w:tcPr>
          <w:p>
            <w:pPr>
              <w:spacing w:after="0"/>
              <w:rPr>
                <w:sz w:val="10"/>
                <w:szCs w:val="10"/>
                <w:color w:val="auto"/>
              </w:rPr>
            </w:pPr>
          </w:p>
        </w:tc>
        <w:tc>
          <w:tcPr>
            <w:tcW w:w="102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54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line="87" w:lineRule="exact"/>
              <w:rPr>
                <w:sz w:val="20"/>
                <w:szCs w:val="20"/>
                <w:color w:val="auto"/>
              </w:rPr>
            </w:pPr>
            <w:r>
              <w:rPr>
                <w:rFonts w:ascii="Times New Roman" w:cs="Times New Roman" w:eastAsia="Times New Roman" w:hAnsi="Times New Roman"/>
                <w:sz w:val="10"/>
                <w:szCs w:val="10"/>
                <w:color w:val="0000FF"/>
                <w:highlight w:val="white"/>
              </w:rPr>
              <w:t>06/30/2026</w:t>
            </w: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tcPr>
          <w:p>
            <w:pPr>
              <w:spacing w:after="0"/>
              <w:rPr>
                <w:sz w:val="4"/>
                <w:szCs w:val="4"/>
                <w:color w:val="auto"/>
              </w:rPr>
            </w:pPr>
          </w:p>
        </w:tc>
        <w:tc>
          <w:tcPr>
            <w:tcW w:w="540" w:type="dxa"/>
            <w:vAlign w:val="bottom"/>
            <w:vMerge w:val="continue"/>
          </w:tcPr>
          <w:p>
            <w:pPr>
              <w:spacing w:after="0"/>
              <w:rPr>
                <w:sz w:val="4"/>
                <w:szCs w:val="4"/>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1280" w:type="dxa"/>
            <w:vAlign w:val="bottom"/>
            <w:tcBorders>
              <w:bottom w:val="single" w:sz="8" w:color="808080"/>
            </w:tcBorders>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gridSpan w:val="5"/>
          </w:tcPr>
          <w:p>
            <w:pPr>
              <w:spacing w:after="0" w:line="87" w:lineRule="exact"/>
              <w:rPr>
                <w:sz w:val="20"/>
                <w:szCs w:val="20"/>
                <w:color w:val="auto"/>
              </w:rPr>
            </w:pPr>
            <w:r>
              <w:rPr>
                <w:rFonts w:ascii="Arial" w:cs="Arial" w:eastAsia="Arial" w:hAnsi="Arial"/>
                <w:sz w:val="10"/>
                <w:szCs w:val="10"/>
                <w:color w:val="auto"/>
              </w:rPr>
              <w:t>** Signature of Reporting Person</w:t>
            </w:r>
          </w:p>
        </w:tc>
        <w:tc>
          <w:tcPr>
            <w:tcW w:w="102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180" w:type="dxa"/>
            <w:vAlign w:val="bottom"/>
            <w:gridSpan w:val="9"/>
            <w:vMerge w:val="restart"/>
          </w:tcPr>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2"/>
          </w:tcPr>
          <w:p>
            <w:pPr>
              <w:ind w:left="460"/>
              <w:spacing w:after="0" w:line="93"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180" w:type="dxa"/>
            <w:vAlign w:val="bottom"/>
            <w:gridSpan w:val="9"/>
            <w:vMerge w:val="continue"/>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340" w:type="dxa"/>
            <w:vAlign w:val="bottom"/>
            <w:gridSpan w:val="8"/>
            <w:vMerge w:val="restart"/>
          </w:tcPr>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340" w:type="dxa"/>
            <w:vAlign w:val="bottom"/>
            <w:gridSpan w:val="8"/>
            <w:vMerge w:val="continue"/>
          </w:tcPr>
          <w:p>
            <w:pPr>
              <w:spacing w:after="0"/>
              <w:rPr>
                <w:sz w:val="7"/>
                <w:szCs w:val="7"/>
                <w:color w:val="auto"/>
              </w:rPr>
            </w:pPr>
          </w:p>
        </w:tc>
        <w:tc>
          <w:tcPr>
            <w:tcW w:w="840" w:type="dxa"/>
            <w:vAlign w:val="bottom"/>
            <w:vMerge w:val="restart"/>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line="121"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vMerge w:val="restart"/>
          </w:tcPr>
          <w:p>
            <w:pPr>
              <w:ind w:left="460"/>
              <w:spacing w:after="0" w:line="12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80" w:type="dxa"/>
            <w:vAlign w:val="bottom"/>
            <w:gridSpan w:val="7"/>
            <w:vMerge w:val="restart"/>
          </w:tcPr>
          <w:p>
            <w:pPr>
              <w:ind w:left="40"/>
              <w:spacing w:after="0"/>
              <w:rPr>
                <w:sz w:val="20"/>
                <w:szCs w:val="20"/>
                <w:color w:val="auto"/>
              </w:rPr>
            </w:pPr>
            <w:r>
              <w:rPr>
                <w:rFonts w:ascii="Arial" w:cs="Arial" w:eastAsia="Arial" w:hAnsi="Arial"/>
                <w:sz w:val="13"/>
                <w:szCs w:val="13"/>
                <w:color w:val="auto"/>
                <w:w w:val="95"/>
              </w:rPr>
              <w:t>** Intentional misstatements or omissions of facts constitute Federal</w:t>
            </w:r>
            <w:r>
              <w:rPr>
                <w:rFonts w:ascii="Arial" w:cs="Arial" w:eastAsia="Arial" w:hAnsi="Arial"/>
                <w:sz w:val="11"/>
                <w:szCs w:val="11"/>
                <w:b w:val="1"/>
                <w:bCs w:val="1"/>
                <w:color w:val="auto"/>
                <w:w w:val="95"/>
              </w:rPr>
              <w:t>Code</w:t>
            </w:r>
            <w:r>
              <w:rPr>
                <w:rFonts w:ascii="Arial" w:cs="Arial" w:eastAsia="Arial" w:hAnsi="Arial"/>
                <w:sz w:val="13"/>
                <w:szCs w:val="13"/>
                <w:color w:val="auto"/>
                <w:w w:val="95"/>
              </w:rPr>
              <w:t>Criminal</w:t>
            </w:r>
            <w:r>
              <w:rPr>
                <w:rFonts w:ascii="Arial" w:cs="Arial" w:eastAsia="Arial" w:hAnsi="Arial"/>
                <w:sz w:val="11"/>
                <w:szCs w:val="11"/>
                <w:b w:val="1"/>
                <w:bCs w:val="1"/>
                <w:color w:val="auto"/>
                <w:w w:val="95"/>
              </w:rPr>
              <w:t>V</w:t>
            </w:r>
          </w:p>
        </w:tc>
        <w:tc>
          <w:tcPr>
            <w:tcW w:w="7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7"/>
            <w:vMerge w:val="continue"/>
          </w:tcPr>
          <w:p>
            <w:pPr>
              <w:spacing w:after="0"/>
              <w:rPr>
                <w:sz w:val="15"/>
                <w:szCs w:val="15"/>
                <w:color w:val="auto"/>
              </w:rPr>
            </w:pPr>
          </w:p>
        </w:tc>
        <w:tc>
          <w:tcPr>
            <w:tcW w:w="3360" w:type="dxa"/>
            <w:vAlign w:val="bottom"/>
            <w:gridSpan w:val="6"/>
          </w:tcPr>
          <w:p>
            <w:pPr>
              <w:ind w:left="20"/>
              <w:spacing w:after="0"/>
              <w:rPr>
                <w:sz w:val="20"/>
                <w:szCs w:val="20"/>
                <w:color w:val="auto"/>
              </w:rPr>
            </w:pPr>
            <w:r>
              <w:rPr>
                <w:rFonts w:ascii="Arial" w:cs="Arial" w:eastAsia="Arial" w:hAnsi="Arial"/>
                <w:sz w:val="13"/>
                <w:szCs w:val="13"/>
                <w:color w:val="auto"/>
                <w:w w:val="70"/>
              </w:rPr>
              <w:t>Violations</w:t>
            </w:r>
            <w:r>
              <w:rPr>
                <w:rFonts w:ascii="Arial" w:cs="Arial" w:eastAsia="Arial" w:hAnsi="Arial"/>
                <w:sz w:val="11"/>
                <w:szCs w:val="11"/>
                <w:b w:val="1"/>
                <w:bCs w:val="1"/>
                <w:color w:val="auto"/>
                <w:w w:val="70"/>
              </w:rPr>
              <w:t>(A)(D)</w:t>
            </w:r>
            <w:r>
              <w:rPr>
                <w:rFonts w:ascii="Arial" w:cs="Arial" w:eastAsia="Arial" w:hAnsi="Arial"/>
                <w:sz w:val="13"/>
                <w:szCs w:val="13"/>
                <w:color w:val="auto"/>
                <w:w w:val="70"/>
              </w:rPr>
              <w:t xml:space="preserve"> </w:t>
            </w:r>
            <w:r>
              <w:rPr>
                <w:rFonts w:ascii="Arial" w:cs="Arial" w:eastAsia="Arial" w:hAnsi="Arial"/>
                <w:sz w:val="13"/>
                <w:szCs w:val="13"/>
                <w:i w:val="1"/>
                <w:iCs w:val="1"/>
                <w:color w:val="auto"/>
                <w:w w:val="70"/>
              </w:rPr>
              <w:t>See</w:t>
            </w:r>
            <w:r>
              <w:rPr>
                <w:rFonts w:ascii="Arial" w:cs="Arial" w:eastAsia="Arial" w:hAnsi="Arial"/>
                <w:sz w:val="11"/>
                <w:szCs w:val="11"/>
                <w:b w:val="1"/>
                <w:bCs w:val="1"/>
                <w:color w:val="auto"/>
                <w:w w:val="70"/>
              </w:rPr>
              <w:t>Exercisable</w:t>
            </w:r>
            <w:r>
              <w:rPr>
                <w:rFonts w:ascii="Arial" w:cs="Arial" w:eastAsia="Arial" w:hAnsi="Arial"/>
                <w:sz w:val="13"/>
                <w:szCs w:val="13"/>
                <w:color w:val="auto"/>
                <w:w w:val="70"/>
              </w:rPr>
              <w:t>18U.S.C. 1001</w:t>
            </w:r>
            <w:r>
              <w:rPr>
                <w:rFonts w:ascii="Arial" w:cs="Arial" w:eastAsia="Arial" w:hAnsi="Arial"/>
                <w:sz w:val="11"/>
                <w:szCs w:val="11"/>
                <w:b w:val="1"/>
                <w:bCs w:val="1"/>
                <w:color w:val="auto"/>
                <w:w w:val="70"/>
              </w:rPr>
              <w:t>Date</w:t>
            </w:r>
            <w:r>
              <w:rPr>
                <w:rFonts w:ascii="Arial" w:cs="Arial" w:eastAsia="Arial" w:hAnsi="Arial"/>
                <w:sz w:val="13"/>
                <w:szCs w:val="13"/>
                <w:color w:val="auto"/>
                <w:w w:val="70"/>
              </w:rPr>
              <w:t>and 15 U</w:t>
            </w:r>
            <w:r>
              <w:rPr>
                <w:rFonts w:ascii="Arial" w:cs="Arial" w:eastAsia="Arial" w:hAnsi="Arial"/>
                <w:sz w:val="11"/>
                <w:szCs w:val="11"/>
                <w:b w:val="1"/>
                <w:bCs w:val="1"/>
                <w:color w:val="auto"/>
                <w:w w:val="70"/>
              </w:rPr>
              <w:t>Title</w:t>
            </w:r>
            <w:r>
              <w:rPr>
                <w:rFonts w:ascii="Arial" w:cs="Arial" w:eastAsia="Arial" w:hAnsi="Arial"/>
                <w:sz w:val="13"/>
                <w:szCs w:val="13"/>
                <w:color w:val="auto"/>
                <w:w w:val="70"/>
              </w:rPr>
              <w:t>.S.C. 78ff(a)</w:t>
            </w:r>
            <w:r>
              <w:rPr>
                <w:rFonts w:ascii="Arial" w:cs="Arial" w:eastAsia="Arial" w:hAnsi="Arial"/>
                <w:sz w:val="11"/>
                <w:szCs w:val="11"/>
                <w:b w:val="1"/>
                <w:bCs w:val="1"/>
                <w:color w:val="auto"/>
                <w:w w:val="70"/>
              </w:rPr>
              <w:t>Shares</w:t>
            </w:r>
            <w:r>
              <w:rPr>
                <w:rFonts w:ascii="Arial" w:cs="Arial" w:eastAsia="Arial" w:hAnsi="Arial"/>
                <w:sz w:val="13"/>
                <w:szCs w:val="13"/>
                <w:color w:val="auto"/>
                <w:w w:val="70"/>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6358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4828"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2026-06-30T19:40:07Z</dcterms:created>
  <dcterms:modified xsi:type="dcterms:W3CDTF">2026-06-30T19:40:07Z</dcterms:modified>
</cp:coreProperties>
</file>