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QVT Financial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888 SEVENTH AVENUE, 43RD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Roivant Sciences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ROIV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05"/>
        <w:spacing w:after="0"/>
        <w:rPr>
          <w:sz w:val="20"/>
          <w:szCs w:val="20"/>
          <w:color w:val="auto"/>
        </w:rPr>
      </w:pPr>
      <w:r>
        <w:rPr>
          <w:rFonts w:ascii="Times New Roman" w:cs="Times New Roman" w:eastAsia="Times New Roman" w:hAnsi="Times New Roman"/>
          <w:sz w:val="17"/>
          <w:szCs w:val="17"/>
          <w:color w:val="0000FF"/>
        </w:rPr>
        <w:t>Director by Deputization</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62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2"/>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20" w:type="dxa"/>
            <w:vAlign w:val="bottom"/>
            <w:gridSpan w:val="7"/>
            <w:vMerge w:val="continue"/>
          </w:tcPr>
          <w:p>
            <w:pPr>
              <w:spacing w:after="0"/>
              <w:rPr>
                <w:sz w:val="8"/>
                <w:szCs w:val="8"/>
                <w:color w:val="auto"/>
              </w:rPr>
            </w:pPr>
          </w:p>
        </w:tc>
        <w:tc>
          <w:tcPr>
            <w:tcW w:w="3680" w:type="dxa"/>
            <w:vAlign w:val="bottom"/>
            <w:gridSpan w:val="1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40" w:type="dxa"/>
            <w:vAlign w:val="bottom"/>
            <w:gridSpan w:val="4"/>
          </w:tcPr>
          <w:p>
            <w:pPr>
              <w:ind w:left="34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10106</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80" w:type="dxa"/>
            <w:vAlign w:val="bottom"/>
            <w:gridSpan w:val="9"/>
          </w:tcPr>
          <w:p>
            <w:pPr>
              <w:ind w:left="2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80" w:type="dxa"/>
            <w:vAlign w:val="bottom"/>
            <w:gridSpan w:val="9"/>
          </w:tcPr>
          <w:p>
            <w:pPr>
              <w:ind w:left="26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gridSpan w:val="2"/>
          </w:tcPr>
          <w:p>
            <w:pPr>
              <w:ind w:left="26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600" w:type="dxa"/>
            <w:vAlign w:val="bottom"/>
            <w:tcBorders>
              <w:top w:val="single" w:sz="8" w:color="2C2C2C"/>
            </w:tcBorders>
            <w:gridSpan w:val="15"/>
          </w:tcPr>
          <w:p>
            <w:pPr>
              <w:jc w:val="center"/>
              <w:ind w:left="113"/>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0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20" w:type="dxa"/>
            <w:vAlign w:val="bottom"/>
            <w:gridSpan w:val="5"/>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QVT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00" w:type="dxa"/>
            <w:vAlign w:val="bottom"/>
            <w:gridSpan w:val="3"/>
            <w:vMerge w:val="restart"/>
          </w:tcPr>
          <w:p>
            <w:pPr>
              <w:jc w:val="right"/>
              <w:ind w:right="98"/>
              <w:spacing w:after="0"/>
              <w:rPr>
                <w:sz w:val="20"/>
                <w:szCs w:val="20"/>
                <w:color w:val="auto"/>
              </w:rPr>
            </w:pPr>
            <w:r>
              <w:rPr>
                <w:rFonts w:ascii="Times New Roman" w:cs="Times New Roman" w:eastAsia="Times New Roman" w:hAnsi="Times New Roman"/>
                <w:sz w:val="17"/>
                <w:szCs w:val="17"/>
                <w:color w:val="0000FF"/>
              </w:rPr>
              <w:t>06/26/2026</w:t>
            </w: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vMerge w:val="restart"/>
          </w:tcPr>
          <w:p>
            <w:pPr>
              <w:jc w:val="center"/>
              <w:ind w:right="337"/>
              <w:spacing w:after="0"/>
              <w:rPr>
                <w:sz w:val="20"/>
                <w:szCs w:val="20"/>
                <w:color w:val="auto"/>
              </w:rPr>
            </w:pPr>
            <w:r>
              <w:rPr>
                <w:rFonts w:ascii="Times New Roman" w:cs="Times New Roman" w:eastAsia="Times New Roman" w:hAnsi="Times New Roman"/>
                <w:sz w:val="13"/>
                <w:szCs w:val="13"/>
                <w:color w:val="0000FF"/>
                <w:w w:val="82"/>
              </w:rPr>
              <w: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300,783</w:t>
            </w: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gridSpan w:val="2"/>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33.92</w:t>
            </w:r>
          </w:p>
        </w:tc>
        <w:tc>
          <w:tcPr>
            <w:tcW w:w="12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7"/>
                <w:szCs w:val="17"/>
                <w:color w:val="0000FF"/>
              </w:rPr>
              <w:t>14,826,546</w:t>
            </w:r>
          </w:p>
        </w:tc>
        <w:tc>
          <w:tcPr>
            <w:tcW w:w="280" w:type="dxa"/>
            <w:vAlign w:val="bottom"/>
          </w:tcPr>
          <w:p>
            <w:pPr>
              <w:spacing w:after="0"/>
              <w:rPr>
                <w:sz w:val="18"/>
                <w:szCs w:val="18"/>
                <w:color w:val="auto"/>
              </w:rPr>
            </w:pPr>
          </w:p>
        </w:tc>
        <w:tc>
          <w:tcPr>
            <w:tcW w:w="580" w:type="dxa"/>
            <w:vAlign w:val="bottom"/>
            <w:vMerge w:val="restart"/>
          </w:tcPr>
          <w:p>
            <w:pPr>
              <w:ind w:left="20"/>
              <w:spacing w:after="0" w:line="387" w:lineRule="exact"/>
              <w:rPr>
                <w:sz w:val="20"/>
                <w:szCs w:val="20"/>
                <w:color w:val="auto"/>
              </w:rPr>
            </w:pPr>
            <w:r>
              <w:rPr>
                <w:rFonts w:ascii="Times New Roman" w:cs="Times New Roman" w:eastAsia="Times New Roman" w:hAnsi="Times New Roman"/>
                <w:sz w:val="34"/>
                <w:szCs w:val="34"/>
                <w:color w:val="0000FF"/>
                <w:vertAlign w:val="subscript"/>
              </w:rPr>
              <w:t>I</w:t>
            </w:r>
            <w:r>
              <w:rPr>
                <w:rFonts w:ascii="Times New Roman" w:cs="Times New Roman" w:eastAsia="Times New Roman" w:hAnsi="Times New Roman"/>
                <w:sz w:val="11"/>
                <w:szCs w:val="11"/>
                <w:color w:val="008000"/>
              </w:rPr>
              <w:t>(1)</w:t>
            </w: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Financial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00" w:type="dxa"/>
            <w:vAlign w:val="bottom"/>
            <w:gridSpan w:val="3"/>
            <w:vMerge w:val="continue"/>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02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Investment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Cayman</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Ltd.</w:t>
            </w:r>
            <w:r>
              <w:rPr>
                <w:rFonts w:ascii="Times New Roman" w:cs="Times New Roman" w:eastAsia="Times New Roman" w:hAnsi="Times New Roman"/>
                <w:sz w:val="22"/>
                <w:szCs w:val="22"/>
                <w:color w:val="008000"/>
                <w:vertAlign w:val="superscript"/>
              </w:rPr>
              <w:t>(2)</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QVT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00" w:type="dxa"/>
            <w:vAlign w:val="bottom"/>
            <w:gridSpan w:val="3"/>
            <w:vMerge w:val="restart"/>
          </w:tcPr>
          <w:p>
            <w:pPr>
              <w:jc w:val="right"/>
              <w:ind w:right="98"/>
              <w:spacing w:after="0"/>
              <w:rPr>
                <w:sz w:val="20"/>
                <w:szCs w:val="20"/>
                <w:color w:val="auto"/>
              </w:rPr>
            </w:pPr>
            <w:r>
              <w:rPr>
                <w:rFonts w:ascii="Times New Roman" w:cs="Times New Roman" w:eastAsia="Times New Roman" w:hAnsi="Times New Roman"/>
                <w:sz w:val="17"/>
                <w:szCs w:val="17"/>
                <w:color w:val="0000FF"/>
              </w:rPr>
              <w:t>06/26/2026</w:t>
            </w: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vMerge w:val="restart"/>
          </w:tcPr>
          <w:p>
            <w:pPr>
              <w:jc w:val="center"/>
              <w:ind w:right="337"/>
              <w:spacing w:after="0"/>
              <w:rPr>
                <w:sz w:val="20"/>
                <w:szCs w:val="20"/>
                <w:color w:val="auto"/>
              </w:rPr>
            </w:pPr>
            <w:r>
              <w:rPr>
                <w:rFonts w:ascii="Times New Roman" w:cs="Times New Roman" w:eastAsia="Times New Roman" w:hAnsi="Times New Roman"/>
                <w:sz w:val="13"/>
                <w:szCs w:val="13"/>
                <w:color w:val="0000FF"/>
                <w:w w:val="82"/>
              </w:rPr>
              <w: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325,000</w:t>
            </w: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gridSpan w:val="2"/>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34.07</w:t>
            </w:r>
          </w:p>
        </w:tc>
        <w:tc>
          <w:tcPr>
            <w:tcW w:w="12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7"/>
                <w:szCs w:val="17"/>
                <w:color w:val="0000FF"/>
              </w:rPr>
              <w:t>14,501,546</w:t>
            </w:r>
          </w:p>
        </w:tc>
        <w:tc>
          <w:tcPr>
            <w:tcW w:w="280" w:type="dxa"/>
            <w:vAlign w:val="bottom"/>
          </w:tcPr>
          <w:p>
            <w:pPr>
              <w:spacing w:after="0"/>
              <w:rPr>
                <w:sz w:val="18"/>
                <w:szCs w:val="18"/>
                <w:color w:val="auto"/>
              </w:rPr>
            </w:pPr>
          </w:p>
        </w:tc>
        <w:tc>
          <w:tcPr>
            <w:tcW w:w="580" w:type="dxa"/>
            <w:vAlign w:val="bottom"/>
            <w:vMerge w:val="restart"/>
          </w:tcPr>
          <w:p>
            <w:pPr>
              <w:ind w:left="20"/>
              <w:spacing w:after="0" w:line="387" w:lineRule="exact"/>
              <w:rPr>
                <w:sz w:val="20"/>
                <w:szCs w:val="20"/>
                <w:color w:val="auto"/>
              </w:rPr>
            </w:pPr>
            <w:r>
              <w:rPr>
                <w:rFonts w:ascii="Times New Roman" w:cs="Times New Roman" w:eastAsia="Times New Roman" w:hAnsi="Times New Roman"/>
                <w:sz w:val="34"/>
                <w:szCs w:val="34"/>
                <w:color w:val="0000FF"/>
                <w:vertAlign w:val="subscript"/>
              </w:rPr>
              <w:t>I</w:t>
            </w:r>
            <w:r>
              <w:rPr>
                <w:rFonts w:ascii="Times New Roman" w:cs="Times New Roman" w:eastAsia="Times New Roman" w:hAnsi="Times New Roman"/>
                <w:sz w:val="11"/>
                <w:szCs w:val="11"/>
                <w:color w:val="008000"/>
              </w:rPr>
              <w:t>(1)</w:t>
            </w: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Financial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00" w:type="dxa"/>
            <w:vAlign w:val="bottom"/>
            <w:gridSpan w:val="3"/>
            <w:vMerge w:val="continue"/>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02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Investment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Cayman</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Ltd.</w:t>
            </w:r>
            <w:r>
              <w:rPr>
                <w:rFonts w:ascii="Times New Roman" w:cs="Times New Roman" w:eastAsia="Times New Roman" w:hAnsi="Times New Roman"/>
                <w:sz w:val="22"/>
                <w:szCs w:val="22"/>
                <w:color w:val="008000"/>
                <w:vertAlign w:val="superscript"/>
              </w:rPr>
              <w:t>(2)</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QVT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00" w:type="dxa"/>
            <w:vAlign w:val="bottom"/>
            <w:gridSpan w:val="3"/>
            <w:vMerge w:val="restart"/>
          </w:tcPr>
          <w:p>
            <w:pPr>
              <w:jc w:val="right"/>
              <w:ind w:right="98"/>
              <w:spacing w:after="0"/>
              <w:rPr>
                <w:sz w:val="20"/>
                <w:szCs w:val="20"/>
                <w:color w:val="auto"/>
              </w:rPr>
            </w:pPr>
            <w:r>
              <w:rPr>
                <w:rFonts w:ascii="Times New Roman" w:cs="Times New Roman" w:eastAsia="Times New Roman" w:hAnsi="Times New Roman"/>
                <w:sz w:val="17"/>
                <w:szCs w:val="17"/>
                <w:color w:val="0000FF"/>
              </w:rPr>
              <w:t>06/29/2026</w:t>
            </w: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vMerge w:val="restart"/>
          </w:tcPr>
          <w:p>
            <w:pPr>
              <w:jc w:val="center"/>
              <w:ind w:right="337"/>
              <w:spacing w:after="0"/>
              <w:rPr>
                <w:sz w:val="20"/>
                <w:szCs w:val="20"/>
                <w:color w:val="auto"/>
              </w:rPr>
            </w:pPr>
            <w:r>
              <w:rPr>
                <w:rFonts w:ascii="Times New Roman" w:cs="Times New Roman" w:eastAsia="Times New Roman" w:hAnsi="Times New Roman"/>
                <w:sz w:val="13"/>
                <w:szCs w:val="13"/>
                <w:color w:val="0000FF"/>
                <w:w w:val="82"/>
              </w:rPr>
              <w: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200,000</w:t>
            </w: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gridSpan w:val="2"/>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34.44</w:t>
            </w:r>
          </w:p>
        </w:tc>
        <w:tc>
          <w:tcPr>
            <w:tcW w:w="12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7"/>
                <w:szCs w:val="17"/>
                <w:color w:val="0000FF"/>
              </w:rPr>
              <w:t>14,301,546</w:t>
            </w:r>
          </w:p>
        </w:tc>
        <w:tc>
          <w:tcPr>
            <w:tcW w:w="280" w:type="dxa"/>
            <w:vAlign w:val="bottom"/>
          </w:tcPr>
          <w:p>
            <w:pPr>
              <w:spacing w:after="0"/>
              <w:rPr>
                <w:sz w:val="18"/>
                <w:szCs w:val="18"/>
                <w:color w:val="auto"/>
              </w:rPr>
            </w:pPr>
          </w:p>
        </w:tc>
        <w:tc>
          <w:tcPr>
            <w:tcW w:w="580" w:type="dxa"/>
            <w:vAlign w:val="bottom"/>
            <w:vMerge w:val="restart"/>
          </w:tcPr>
          <w:p>
            <w:pPr>
              <w:ind w:left="20"/>
              <w:spacing w:after="0" w:line="387" w:lineRule="exact"/>
              <w:rPr>
                <w:sz w:val="20"/>
                <w:szCs w:val="20"/>
                <w:color w:val="auto"/>
              </w:rPr>
            </w:pPr>
            <w:r>
              <w:rPr>
                <w:rFonts w:ascii="Times New Roman" w:cs="Times New Roman" w:eastAsia="Times New Roman" w:hAnsi="Times New Roman"/>
                <w:sz w:val="34"/>
                <w:szCs w:val="34"/>
                <w:color w:val="0000FF"/>
                <w:vertAlign w:val="subscript"/>
              </w:rPr>
              <w:t>I</w:t>
            </w:r>
            <w:r>
              <w:rPr>
                <w:rFonts w:ascii="Times New Roman" w:cs="Times New Roman" w:eastAsia="Times New Roman" w:hAnsi="Times New Roman"/>
                <w:sz w:val="11"/>
                <w:szCs w:val="11"/>
                <w:color w:val="008000"/>
              </w:rPr>
              <w:t>(1)</w:t>
            </w: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Financial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00" w:type="dxa"/>
            <w:vAlign w:val="bottom"/>
            <w:gridSpan w:val="3"/>
            <w:vMerge w:val="continue"/>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02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Investment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Cayman</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Ltd.</w:t>
            </w:r>
            <w:r>
              <w:rPr>
                <w:rFonts w:ascii="Times New Roman" w:cs="Times New Roman" w:eastAsia="Times New Roman" w:hAnsi="Times New Roman"/>
                <w:sz w:val="22"/>
                <w:szCs w:val="22"/>
                <w:color w:val="008000"/>
                <w:vertAlign w:val="superscript"/>
              </w:rPr>
              <w:t>(2)</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QVT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00" w:type="dxa"/>
            <w:vAlign w:val="bottom"/>
            <w:gridSpan w:val="3"/>
            <w:vMerge w:val="restart"/>
          </w:tcPr>
          <w:p>
            <w:pPr>
              <w:jc w:val="right"/>
              <w:ind w:right="98"/>
              <w:spacing w:after="0"/>
              <w:rPr>
                <w:sz w:val="20"/>
                <w:szCs w:val="20"/>
                <w:color w:val="auto"/>
              </w:rPr>
            </w:pPr>
            <w:r>
              <w:rPr>
                <w:rFonts w:ascii="Times New Roman" w:cs="Times New Roman" w:eastAsia="Times New Roman" w:hAnsi="Times New Roman"/>
                <w:sz w:val="17"/>
                <w:szCs w:val="17"/>
                <w:color w:val="0000FF"/>
              </w:rPr>
              <w:t>06/29/2026</w:t>
            </w: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vMerge w:val="restart"/>
          </w:tcPr>
          <w:p>
            <w:pPr>
              <w:jc w:val="center"/>
              <w:ind w:right="337"/>
              <w:spacing w:after="0"/>
              <w:rPr>
                <w:sz w:val="20"/>
                <w:szCs w:val="20"/>
                <w:color w:val="auto"/>
              </w:rPr>
            </w:pPr>
            <w:r>
              <w:rPr>
                <w:rFonts w:ascii="Times New Roman" w:cs="Times New Roman" w:eastAsia="Times New Roman" w:hAnsi="Times New Roman"/>
                <w:sz w:val="13"/>
                <w:szCs w:val="13"/>
                <w:color w:val="0000FF"/>
                <w:w w:val="82"/>
              </w:rPr>
              <w: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600,000</w:t>
            </w: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gridSpan w:val="2"/>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34.59</w:t>
            </w:r>
          </w:p>
        </w:tc>
        <w:tc>
          <w:tcPr>
            <w:tcW w:w="12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7"/>
                <w:szCs w:val="17"/>
                <w:color w:val="0000FF"/>
              </w:rPr>
              <w:t>13,701,546</w:t>
            </w:r>
          </w:p>
        </w:tc>
        <w:tc>
          <w:tcPr>
            <w:tcW w:w="280" w:type="dxa"/>
            <w:vAlign w:val="bottom"/>
          </w:tcPr>
          <w:p>
            <w:pPr>
              <w:spacing w:after="0"/>
              <w:rPr>
                <w:sz w:val="18"/>
                <w:szCs w:val="18"/>
                <w:color w:val="auto"/>
              </w:rPr>
            </w:pPr>
          </w:p>
        </w:tc>
        <w:tc>
          <w:tcPr>
            <w:tcW w:w="580" w:type="dxa"/>
            <w:vAlign w:val="bottom"/>
            <w:vMerge w:val="restart"/>
          </w:tcPr>
          <w:p>
            <w:pPr>
              <w:ind w:left="20"/>
              <w:spacing w:after="0" w:line="387" w:lineRule="exact"/>
              <w:rPr>
                <w:sz w:val="20"/>
                <w:szCs w:val="20"/>
                <w:color w:val="auto"/>
              </w:rPr>
            </w:pPr>
            <w:r>
              <w:rPr>
                <w:rFonts w:ascii="Times New Roman" w:cs="Times New Roman" w:eastAsia="Times New Roman" w:hAnsi="Times New Roman"/>
                <w:sz w:val="34"/>
                <w:szCs w:val="34"/>
                <w:color w:val="0000FF"/>
                <w:vertAlign w:val="subscript"/>
              </w:rPr>
              <w:t>I</w:t>
            </w:r>
            <w:r>
              <w:rPr>
                <w:rFonts w:ascii="Times New Roman" w:cs="Times New Roman" w:eastAsia="Times New Roman" w:hAnsi="Times New Roman"/>
                <w:sz w:val="11"/>
                <w:szCs w:val="11"/>
                <w:color w:val="008000"/>
              </w:rPr>
              <w:t>(1)</w:t>
            </w: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Financial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00" w:type="dxa"/>
            <w:vAlign w:val="bottom"/>
            <w:gridSpan w:val="3"/>
            <w:vMerge w:val="continue"/>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02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Investment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Cayman</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Ltd.</w:t>
            </w:r>
            <w:r>
              <w:rPr>
                <w:rFonts w:ascii="Times New Roman" w:cs="Times New Roman" w:eastAsia="Times New Roman" w:hAnsi="Times New Roman"/>
                <w:sz w:val="22"/>
                <w:szCs w:val="22"/>
                <w:color w:val="008000"/>
                <w:vertAlign w:val="superscript"/>
              </w:rPr>
              <w:t>(2)</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QVT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00" w:type="dxa"/>
            <w:vAlign w:val="bottom"/>
            <w:gridSpan w:val="3"/>
            <w:vMerge w:val="restart"/>
          </w:tcPr>
          <w:p>
            <w:pPr>
              <w:jc w:val="right"/>
              <w:ind w:right="98"/>
              <w:spacing w:after="0"/>
              <w:rPr>
                <w:sz w:val="20"/>
                <w:szCs w:val="20"/>
                <w:color w:val="auto"/>
              </w:rPr>
            </w:pPr>
            <w:r>
              <w:rPr>
                <w:rFonts w:ascii="Times New Roman" w:cs="Times New Roman" w:eastAsia="Times New Roman" w:hAnsi="Times New Roman"/>
                <w:sz w:val="17"/>
                <w:szCs w:val="17"/>
                <w:color w:val="0000FF"/>
              </w:rPr>
              <w:t>06/30/2026</w:t>
            </w: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vMerge w:val="restart"/>
          </w:tcPr>
          <w:p>
            <w:pPr>
              <w:jc w:val="center"/>
              <w:ind w:right="337"/>
              <w:spacing w:after="0"/>
              <w:rPr>
                <w:sz w:val="20"/>
                <w:szCs w:val="20"/>
                <w:color w:val="auto"/>
              </w:rPr>
            </w:pPr>
            <w:r>
              <w:rPr>
                <w:rFonts w:ascii="Times New Roman" w:cs="Times New Roman" w:eastAsia="Times New Roman" w:hAnsi="Times New Roman"/>
                <w:sz w:val="13"/>
                <w:szCs w:val="13"/>
                <w:color w:val="0000FF"/>
                <w:w w:val="82"/>
              </w:rPr>
              <w: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12,380</w:t>
            </w: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gridSpan w:val="2"/>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35.28</w:t>
            </w:r>
          </w:p>
        </w:tc>
        <w:tc>
          <w:tcPr>
            <w:tcW w:w="12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7"/>
                <w:szCs w:val="17"/>
                <w:color w:val="0000FF"/>
              </w:rPr>
              <w:t>13,689,166</w:t>
            </w:r>
          </w:p>
        </w:tc>
        <w:tc>
          <w:tcPr>
            <w:tcW w:w="280" w:type="dxa"/>
            <w:vAlign w:val="bottom"/>
          </w:tcPr>
          <w:p>
            <w:pPr>
              <w:spacing w:after="0"/>
              <w:rPr>
                <w:sz w:val="18"/>
                <w:szCs w:val="18"/>
                <w:color w:val="auto"/>
              </w:rPr>
            </w:pPr>
          </w:p>
        </w:tc>
        <w:tc>
          <w:tcPr>
            <w:tcW w:w="580" w:type="dxa"/>
            <w:vAlign w:val="bottom"/>
            <w:vMerge w:val="restart"/>
          </w:tcPr>
          <w:p>
            <w:pPr>
              <w:ind w:left="20"/>
              <w:spacing w:after="0" w:line="387" w:lineRule="exact"/>
              <w:rPr>
                <w:sz w:val="20"/>
                <w:szCs w:val="20"/>
                <w:color w:val="auto"/>
              </w:rPr>
            </w:pPr>
            <w:r>
              <w:rPr>
                <w:rFonts w:ascii="Times New Roman" w:cs="Times New Roman" w:eastAsia="Times New Roman" w:hAnsi="Times New Roman"/>
                <w:sz w:val="34"/>
                <w:szCs w:val="34"/>
                <w:color w:val="0000FF"/>
                <w:vertAlign w:val="subscript"/>
              </w:rPr>
              <w:t>I</w:t>
            </w:r>
            <w:r>
              <w:rPr>
                <w:rFonts w:ascii="Times New Roman" w:cs="Times New Roman" w:eastAsia="Times New Roman" w:hAnsi="Times New Roman"/>
                <w:sz w:val="11"/>
                <w:szCs w:val="11"/>
                <w:color w:val="008000"/>
              </w:rPr>
              <w:t>(1)</w:t>
            </w: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Financial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00" w:type="dxa"/>
            <w:vAlign w:val="bottom"/>
            <w:gridSpan w:val="3"/>
            <w:vMerge w:val="continue"/>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02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Investment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Cayman</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Ltd.</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78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360" w:type="dxa"/>
            <w:vAlign w:val="bottom"/>
            <w:gridSpan w:val="2"/>
          </w:tcPr>
          <w:p>
            <w:pPr>
              <w:jc w:val="right"/>
              <w:ind w:right="118"/>
              <w:spacing w:after="0"/>
              <w:rPr>
                <w:sz w:val="20"/>
                <w:szCs w:val="20"/>
                <w:color w:val="auto"/>
              </w:rPr>
            </w:pPr>
            <w:r>
              <w:rPr>
                <w:rFonts w:ascii="Arial" w:cs="Arial" w:eastAsia="Arial" w:hAnsi="Arial"/>
                <w:sz w:val="12"/>
                <w:szCs w:val="12"/>
                <w:b w:val="1"/>
                <w:bCs w:val="1"/>
                <w:color w:val="auto"/>
              </w:rPr>
              <w:t>4.</w:t>
            </w:r>
          </w:p>
        </w:tc>
        <w:tc>
          <w:tcPr>
            <w:tcW w:w="48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5"/>
                <w:szCs w:val="15"/>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gridSpan w:val="2"/>
          </w:tcPr>
          <w:p>
            <w:pPr>
              <w:jc w:val="right"/>
              <w:ind w:right="98"/>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3 and 4)</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460" w:type="dxa"/>
            <w:vAlign w:val="bottom"/>
            <w:tcBorders>
              <w:bottom w:val="single" w:sz="8" w:color="808080"/>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5614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561465"/>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60" w:type="dxa"/>
            <w:vAlign w:val="bottom"/>
            <w:gridSpan w:val="14"/>
          </w:tcPr>
          <w:p>
            <w:pPr>
              <w:ind w:left="880"/>
              <w:spacing w:after="0" w:line="54" w:lineRule="exact"/>
              <w:rPr>
                <w:sz w:val="20"/>
                <w:szCs w:val="20"/>
                <w:color w:val="auto"/>
              </w:rPr>
            </w:pPr>
            <w:r>
              <w:rPr>
                <w:rFonts w:ascii="Arial" w:cs="Arial" w:eastAsia="Arial" w:hAnsi="Arial"/>
                <w:sz w:val="6"/>
                <w:szCs w:val="6"/>
                <w:b w:val="1"/>
                <w:bCs w:val="1"/>
                <w:color w:val="auto"/>
              </w:rPr>
              <w:t>Table II - Derivative Securities Acquired, Disposed of, or Beneficially Owned</w:t>
            </w: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gridSpan w:val="2"/>
          </w:tcPr>
          <w:p>
            <w:pPr>
              <w:ind w:left="460"/>
              <w:spacing w:after="0" w:line="93" w:lineRule="exact"/>
              <w:rPr>
                <w:sz w:val="20"/>
                <w:szCs w:val="20"/>
                <w:color w:val="auto"/>
              </w:rPr>
            </w:pPr>
            <w:r>
              <w:rPr>
                <w:rFonts w:ascii="Arial" w:cs="Arial" w:eastAsia="Arial" w:hAnsi="Arial"/>
                <w:sz w:val="10"/>
                <w:szCs w:val="10"/>
                <w:b w:val="1"/>
                <w:bCs w:val="1"/>
                <w:color w:val="auto"/>
              </w:rPr>
              <w:t>or</w:t>
            </w: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gridSpan w:val="2"/>
          </w:tcPr>
          <w:p>
            <w:pPr>
              <w:ind w:left="460"/>
              <w:spacing w:after="0" w:line="54" w:lineRule="exact"/>
              <w:rPr>
                <w:sz w:val="20"/>
                <w:szCs w:val="20"/>
                <w:color w:val="auto"/>
              </w:rPr>
            </w:pPr>
            <w:r>
              <w:rPr>
                <w:rFonts w:ascii="Arial" w:cs="Arial" w:eastAsia="Arial" w:hAnsi="Arial"/>
                <w:sz w:val="6"/>
                <w:szCs w:val="6"/>
                <w:b w:val="1"/>
                <w:bCs w:val="1"/>
                <w:color w:val="auto"/>
              </w:rPr>
              <w:t>Numb</w:t>
            </w: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280" w:type="dxa"/>
            <w:vAlign w:val="bottom"/>
            <w:gridSpan w:val="9"/>
          </w:tcPr>
          <w:p>
            <w:pPr>
              <w:ind w:left="500"/>
              <w:spacing w:after="0" w:line="80" w:lineRule="exact"/>
              <w:rPr>
                <w:sz w:val="20"/>
                <w:szCs w:val="20"/>
                <w:color w:val="auto"/>
              </w:rPr>
            </w:pPr>
            <w:r>
              <w:rPr>
                <w:rFonts w:ascii="Arial" w:cs="Arial" w:eastAsia="Arial" w:hAnsi="Arial"/>
                <w:sz w:val="9"/>
                <w:szCs w:val="9"/>
                <w:b w:val="1"/>
                <w:bCs w:val="1"/>
                <w:color w:val="auto"/>
              </w:rPr>
              <w:t xml:space="preserve">(e.g., puts, calls, warrants, options, convertible </w:t>
            </w:r>
            <w:r>
              <w:rPr>
                <w:rFonts w:ascii="Arial" w:cs="Arial" w:eastAsia="Arial" w:hAnsi="Arial"/>
                <w:sz w:val="6"/>
                <w:szCs w:val="6"/>
                <w:b w:val="1"/>
                <w:bCs w:val="1"/>
                <w:color w:val="auto"/>
              </w:rPr>
              <w:t>securities)</w:t>
            </w: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1. Title of</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89"/>
              </w:rPr>
              <w:t>4Code.</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V</w:t>
            </w:r>
          </w:p>
        </w:tc>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w w:val="72"/>
              </w:rPr>
              <w:t>5(A).Number(D)</w:t>
            </w:r>
          </w:p>
        </w:tc>
        <w:tc>
          <w:tcPr>
            <w:tcW w:w="1540" w:type="dxa"/>
            <w:vAlign w:val="bottom"/>
            <w:gridSpan w:val="3"/>
          </w:tcPr>
          <w:p>
            <w:pPr>
              <w:ind w:left="60"/>
              <w:spacing w:after="0"/>
              <w:rPr>
                <w:sz w:val="20"/>
                <w:szCs w:val="20"/>
                <w:color w:val="auto"/>
              </w:rPr>
            </w:pPr>
            <w:r>
              <w:rPr>
                <w:rFonts w:ascii="Arial" w:cs="Arial" w:eastAsia="Arial" w:hAnsi="Arial"/>
                <w:sz w:val="11"/>
                <w:szCs w:val="11"/>
                <w:b w:val="1"/>
                <w:bCs w:val="1"/>
                <w:color w:val="auto"/>
                <w:w w:val="72"/>
              </w:rPr>
              <w:t>6Exercisable.DateExercisableDate and</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78"/>
              </w:rPr>
              <w:t>7Title.Title Sharesand</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8. Price of</w:t>
            </w:r>
          </w:p>
        </w:tc>
        <w:tc>
          <w:tcPr>
            <w:tcW w:w="10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1"/>
        </w:trPr>
        <w:tc>
          <w:tcPr>
            <w:tcW w:w="80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21"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spacing w:after="0" w:line="121"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60"/>
              <w:spacing w:after="0" w:line="121"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21"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21"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45"/>
        </w:trPr>
        <w:tc>
          <w:tcPr>
            <w:tcW w:w="800" w:type="dxa"/>
            <w:vAlign w:val="bottom"/>
          </w:tcPr>
          <w:p>
            <w:pPr>
              <w:ind w:left="40"/>
              <w:spacing w:after="0"/>
              <w:rPr>
                <w:sz w:val="20"/>
                <w:szCs w:val="20"/>
                <w:color w:val="auto"/>
              </w:rPr>
            </w:pPr>
            <w:r>
              <w:rPr>
                <w:rFonts w:ascii="Arial" w:cs="Arial" w:eastAsia="Arial" w:hAnsi="Arial"/>
                <w:sz w:val="11"/>
                <w:szCs w:val="11"/>
                <w:b w:val="1"/>
                <w:bCs w:val="1"/>
                <w:color w:val="auto"/>
                <w:w w:val="75"/>
              </w:rPr>
              <w:t>Explanation</w:t>
            </w:r>
            <w:r>
              <w:rPr>
                <w:rFonts w:ascii="Arial" w:cs="Arial" w:eastAsia="Arial" w:hAnsi="Arial"/>
                <w:sz w:val="9"/>
                <w:szCs w:val="9"/>
                <w:b w:val="1"/>
                <w:bCs w:val="1"/>
                <w:color w:val="auto"/>
                <w:w w:val="75"/>
              </w:rPr>
              <w:t>Security</w:t>
            </w:r>
          </w:p>
        </w:tc>
        <w:tc>
          <w:tcPr>
            <w:tcW w:w="1860" w:type="dxa"/>
            <w:vAlign w:val="bottom"/>
            <w:gridSpan w:val="2"/>
          </w:tcPr>
          <w:p>
            <w:pPr>
              <w:spacing w:after="0" w:line="146" w:lineRule="exact"/>
              <w:rPr>
                <w:sz w:val="20"/>
                <w:szCs w:val="20"/>
                <w:color w:val="auto"/>
              </w:rPr>
            </w:pPr>
            <w:r>
              <w:rPr>
                <w:rFonts w:ascii="Arial" w:cs="Arial" w:eastAsia="Arial" w:hAnsi="Arial"/>
                <w:sz w:val="12"/>
                <w:szCs w:val="12"/>
                <w:b w:val="1"/>
                <w:bCs w:val="1"/>
                <w:color w:val="auto"/>
                <w:w w:val="76"/>
              </w:rPr>
              <w:t>or</w:t>
            </w:r>
            <w:r>
              <w:rPr>
                <w:rFonts w:ascii="Arial" w:cs="Arial" w:eastAsia="Arial" w:hAnsi="Arial"/>
                <w:sz w:val="13"/>
                <w:szCs w:val="13"/>
                <w:b w:val="1"/>
                <w:bCs w:val="1"/>
                <w:color w:val="auto"/>
                <w:w w:val="76"/>
              </w:rPr>
              <w:t>of</w:t>
            </w:r>
            <w:r>
              <w:rPr>
                <w:rFonts w:ascii="Arial" w:cs="Arial" w:eastAsia="Arial" w:hAnsi="Arial"/>
                <w:sz w:val="12"/>
                <w:szCs w:val="12"/>
                <w:b w:val="1"/>
                <w:bCs w:val="1"/>
                <w:color w:val="auto"/>
                <w:w w:val="76"/>
              </w:rPr>
              <w:t>Ex</w:t>
            </w:r>
            <w:r>
              <w:rPr>
                <w:rFonts w:ascii="Arial" w:cs="Arial" w:eastAsia="Arial" w:hAnsi="Arial"/>
                <w:sz w:val="13"/>
                <w:szCs w:val="13"/>
                <w:b w:val="1"/>
                <w:bCs w:val="1"/>
                <w:color w:val="auto"/>
                <w:w w:val="76"/>
              </w:rPr>
              <w:t>Responses:</w:t>
            </w:r>
            <w:r>
              <w:rPr>
                <w:rFonts w:ascii="Arial" w:cs="Arial" w:eastAsia="Arial" w:hAnsi="Arial"/>
                <w:sz w:val="12"/>
                <w:szCs w:val="12"/>
                <w:b w:val="1"/>
                <w:bCs w:val="1"/>
                <w:color w:val="auto"/>
                <w:w w:val="76"/>
              </w:rPr>
              <w:t>rcise(Month/Day/Year)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60"/>
              <w:spacing w:after="0"/>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rPr>
                <w:sz w:val="20"/>
                <w:szCs w:val="20"/>
                <w:color w:val="auto"/>
              </w:rPr>
            </w:pPr>
            <w:r>
              <w:rPr>
                <w:rFonts w:ascii="Arial" w:cs="Arial" w:eastAsia="Arial" w:hAnsi="Arial"/>
                <w:sz w:val="12"/>
                <w:szCs w:val="12"/>
                <w:b w:val="1"/>
                <w:bCs w:val="1"/>
                <w:color w:val="auto"/>
              </w:rPr>
              <w:t>Security</w:t>
            </w:r>
          </w:p>
        </w:tc>
        <w:tc>
          <w:tcPr>
            <w:tcW w:w="1020" w:type="dxa"/>
            <w:vAlign w:val="bottom"/>
            <w:gridSpan w:val="3"/>
          </w:tcPr>
          <w:p>
            <w:pPr>
              <w:ind w:left="80"/>
              <w:spacing w:after="0"/>
              <w:rPr>
                <w:sz w:val="20"/>
                <w:szCs w:val="20"/>
                <w:color w:val="auto"/>
              </w:rPr>
            </w:pPr>
            <w:r>
              <w:rPr>
                <w:rFonts w:ascii="Arial" w:cs="Arial" w:eastAsia="Arial" w:hAnsi="Arial"/>
                <w:sz w:val="12"/>
                <w:szCs w:val="12"/>
                <w:b w:val="1"/>
                <w:bCs w:val="1"/>
                <w:color w:val="auto"/>
              </w:rPr>
              <w:t>Securities</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1"/>
        </w:trPr>
        <w:tc>
          <w:tcPr>
            <w:tcW w:w="80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spacing w:after="0" w:line="121"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0"/>
                <w:szCs w:val="10"/>
                <w:color w:val="auto"/>
              </w:rPr>
            </w:pP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0"/>
                <w:szCs w:val="10"/>
                <w:color w:val="auto"/>
              </w:rPr>
            </w:pPr>
          </w:p>
        </w:tc>
        <w:tc>
          <w:tcPr>
            <w:tcW w:w="660" w:type="dxa"/>
            <w:vAlign w:val="bottom"/>
          </w:tcPr>
          <w:p>
            <w:pPr>
              <w:spacing w:after="0" w:line="121"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21"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3"/>
          </w:tcPr>
          <w:p>
            <w:pPr>
              <w:ind w:left="80"/>
              <w:spacing w:after="0" w:line="121"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20"/>
              <w:spacing w:after="0" w:line="121"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67"/>
        </w:trPr>
        <w:tc>
          <w:tcPr>
            <w:tcW w:w="11080" w:type="dxa"/>
            <w:vAlign w:val="bottom"/>
            <w:gridSpan w:val="18"/>
          </w:tcPr>
          <w:p>
            <w:pPr>
              <w:ind w:left="40"/>
              <w:spacing w:after="0" w:line="67" w:lineRule="exact"/>
              <w:rPr>
                <w:sz w:val="20"/>
                <w:szCs w:val="20"/>
                <w:color w:val="auto"/>
              </w:rPr>
            </w:pPr>
            <w:r>
              <w:rPr>
                <w:rFonts w:ascii="Times New Roman" w:cs="Times New Roman" w:eastAsia="Times New Roman" w:hAnsi="Times New Roman"/>
                <w:sz w:val="7"/>
                <w:szCs w:val="7"/>
                <w:color w:val="008000"/>
              </w:rPr>
              <w:t>1. Aggregately, following the transactions described above, QVT Financial LP ("QVT"), a Delaware limited partnership, may be deemed to be the beneficial owner of 23,723,074 Common Shares,</w:t>
            </w:r>
          </w:p>
        </w:tc>
        <w:tc>
          <w:tcPr>
            <w:tcW w:w="0" w:type="dxa"/>
            <w:vAlign w:val="bottom"/>
          </w:tcPr>
          <w:p>
            <w:pPr>
              <w:spacing w:after="0"/>
              <w:rPr>
                <w:sz w:val="1"/>
                <w:szCs w:val="1"/>
                <w:color w:val="auto"/>
              </w:rPr>
            </w:pPr>
          </w:p>
        </w:tc>
      </w:tr>
      <w:tr>
        <w:trPr>
          <w:trHeight w:val="67"/>
        </w:trPr>
        <w:tc>
          <w:tcPr>
            <w:tcW w:w="800" w:type="dxa"/>
            <w:vAlign w:val="bottom"/>
          </w:tcPr>
          <w:p>
            <w:pPr>
              <w:spacing w:after="0"/>
              <w:rPr>
                <w:sz w:val="5"/>
                <w:szCs w:val="5"/>
                <w:color w:val="auto"/>
              </w:rPr>
            </w:pPr>
          </w:p>
        </w:tc>
        <w:tc>
          <w:tcPr>
            <w:tcW w:w="740" w:type="dxa"/>
            <w:vAlign w:val="bottom"/>
          </w:tcPr>
          <w:p>
            <w:pPr>
              <w:spacing w:after="0" w:line="67" w:lineRule="exact"/>
              <w:rPr>
                <w:sz w:val="20"/>
                <w:szCs w:val="20"/>
                <w:color w:val="auto"/>
              </w:rPr>
            </w:pPr>
            <w:r>
              <w:rPr>
                <w:rFonts w:ascii="Arial" w:cs="Arial" w:eastAsia="Arial" w:hAnsi="Arial"/>
                <w:sz w:val="7"/>
                <w:szCs w:val="7"/>
                <w:b w:val="1"/>
                <w:bCs w:val="1"/>
                <w:color w:val="auto"/>
              </w:rPr>
              <w:t>Derivative</w:t>
            </w: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line="67" w:lineRule="exact"/>
              <w:rPr>
                <w:sz w:val="20"/>
                <w:szCs w:val="20"/>
                <w:color w:val="auto"/>
              </w:rPr>
            </w:pPr>
            <w:r>
              <w:rPr>
                <w:rFonts w:ascii="Arial" w:cs="Arial" w:eastAsia="Arial" w:hAnsi="Arial"/>
                <w:sz w:val="7"/>
                <w:szCs w:val="7"/>
                <w:b w:val="1"/>
                <w:bCs w:val="1"/>
                <w:color w:val="auto"/>
              </w:rPr>
              <w:t>Acquired</w:t>
            </w:r>
          </w:p>
        </w:tc>
        <w:tc>
          <w:tcPr>
            <w:tcW w:w="8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60" w:type="dxa"/>
            <w:vAlign w:val="bottom"/>
            <w:gridSpan w:val="2"/>
          </w:tcPr>
          <w:p>
            <w:pPr>
              <w:ind w:left="60"/>
              <w:spacing w:after="0" w:line="67" w:lineRule="exact"/>
              <w:rPr>
                <w:sz w:val="20"/>
                <w:szCs w:val="20"/>
                <w:color w:val="auto"/>
              </w:rPr>
            </w:pPr>
            <w:r>
              <w:rPr>
                <w:rFonts w:ascii="Arial" w:cs="Arial" w:eastAsia="Arial" w:hAnsi="Arial"/>
                <w:sz w:val="7"/>
                <w:szCs w:val="7"/>
                <w:b w:val="1"/>
                <w:bCs w:val="1"/>
                <w:color w:val="auto"/>
              </w:rPr>
              <w:t>Derivative</w:t>
            </w:r>
          </w:p>
        </w:tc>
        <w:tc>
          <w:tcPr>
            <w:tcW w:w="640" w:type="dxa"/>
            <w:vAlign w:val="bottom"/>
          </w:tcPr>
          <w:p>
            <w:pPr>
              <w:spacing w:after="0"/>
              <w:rPr>
                <w:sz w:val="5"/>
                <w:szCs w:val="5"/>
                <w:color w:val="auto"/>
              </w:rPr>
            </w:pPr>
          </w:p>
        </w:tc>
        <w:tc>
          <w:tcPr>
            <w:tcW w:w="1020" w:type="dxa"/>
            <w:vAlign w:val="bottom"/>
            <w:gridSpan w:val="3"/>
          </w:tcPr>
          <w:p>
            <w:pPr>
              <w:ind w:left="80"/>
              <w:spacing w:after="0" w:line="67" w:lineRule="exact"/>
              <w:rPr>
                <w:sz w:val="20"/>
                <w:szCs w:val="20"/>
                <w:color w:val="auto"/>
              </w:rPr>
            </w:pPr>
            <w:r>
              <w:rPr>
                <w:rFonts w:ascii="Arial" w:cs="Arial" w:eastAsia="Arial" w:hAnsi="Arial"/>
                <w:sz w:val="7"/>
                <w:szCs w:val="7"/>
                <w:b w:val="1"/>
                <w:bCs w:val="1"/>
                <w:color w:val="auto"/>
              </w:rPr>
              <w:t>Owned</w:t>
            </w:r>
          </w:p>
        </w:tc>
        <w:tc>
          <w:tcPr>
            <w:tcW w:w="700" w:type="dxa"/>
            <w:vAlign w:val="bottom"/>
          </w:tcPr>
          <w:p>
            <w:pPr>
              <w:ind w:left="20"/>
              <w:spacing w:after="0" w:line="67" w:lineRule="exact"/>
              <w:rPr>
                <w:sz w:val="20"/>
                <w:szCs w:val="20"/>
                <w:color w:val="auto"/>
              </w:rPr>
            </w:pPr>
            <w:r>
              <w:rPr>
                <w:rFonts w:ascii="Arial" w:cs="Arial" w:eastAsia="Arial" w:hAnsi="Arial"/>
                <w:sz w:val="7"/>
                <w:szCs w:val="7"/>
                <w:b w:val="1"/>
                <w:bCs w:val="1"/>
                <w:color w:val="auto"/>
              </w:rPr>
              <w:t>or Indirect</w:t>
            </w:r>
          </w:p>
        </w:tc>
        <w:tc>
          <w:tcPr>
            <w:tcW w:w="78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(Instr. 4)</w:t>
            </w:r>
          </w:p>
        </w:tc>
        <w:tc>
          <w:tcPr>
            <w:tcW w:w="0" w:type="dxa"/>
            <w:vAlign w:val="bottom"/>
          </w:tcPr>
          <w:p>
            <w:pPr>
              <w:spacing w:after="0"/>
              <w:rPr>
                <w:sz w:val="1"/>
                <w:szCs w:val="1"/>
                <w:color w:val="auto"/>
              </w:rPr>
            </w:pPr>
          </w:p>
        </w:tc>
      </w:tr>
      <w:tr>
        <w:trPr>
          <w:trHeight w:val="80"/>
        </w:trPr>
        <w:tc>
          <w:tcPr>
            <w:tcW w:w="11080" w:type="dxa"/>
            <w:vAlign w:val="bottom"/>
            <w:gridSpan w:val="18"/>
          </w:tcPr>
          <w:p>
            <w:pPr>
              <w:ind w:left="40"/>
              <w:spacing w:after="0" w:line="80" w:lineRule="exact"/>
              <w:rPr>
                <w:sz w:val="20"/>
                <w:szCs w:val="20"/>
                <w:color w:val="auto"/>
              </w:rPr>
            </w:pPr>
            <w:r>
              <w:rPr>
                <w:rFonts w:ascii="Times New Roman" w:cs="Times New Roman" w:eastAsia="Times New Roman" w:hAnsi="Times New Roman"/>
                <w:sz w:val="9"/>
                <w:szCs w:val="9"/>
                <w:color w:val="008000"/>
              </w:rPr>
              <w:t>consisting of the Common Shares owned by QVT P&amp;E Roiv Hldgs Ltd. ("QVT P&amp;E"), QVT Deferred Compensation Holdings Ltd ("QVT DCH") and QVT FIC. QVT Financial GP LLC ("QVT</w:t>
            </w:r>
          </w:p>
        </w:tc>
        <w:tc>
          <w:tcPr>
            <w:tcW w:w="0" w:type="dxa"/>
            <w:vAlign w:val="bottom"/>
          </w:tcPr>
          <w:p>
            <w:pPr>
              <w:spacing w:after="0"/>
              <w:rPr>
                <w:sz w:val="1"/>
                <w:szCs w:val="1"/>
                <w:color w:val="auto"/>
              </w:rPr>
            </w:pPr>
          </w:p>
        </w:tc>
      </w:tr>
      <w:tr>
        <w:trPr>
          <w:trHeight w:val="53"/>
        </w:trPr>
        <w:tc>
          <w:tcPr>
            <w:tcW w:w="800" w:type="dxa"/>
            <w:vAlign w:val="bottom"/>
          </w:tcPr>
          <w:p>
            <w:pPr>
              <w:spacing w:after="0"/>
              <w:rPr>
                <w:sz w:val="4"/>
                <w:szCs w:val="4"/>
                <w:color w:val="auto"/>
              </w:rPr>
            </w:pPr>
          </w:p>
        </w:tc>
        <w:tc>
          <w:tcPr>
            <w:tcW w:w="740" w:type="dxa"/>
            <w:vAlign w:val="bottom"/>
          </w:tcPr>
          <w:p>
            <w:pPr>
              <w:spacing w:after="0" w:line="54" w:lineRule="exact"/>
              <w:rPr>
                <w:sz w:val="20"/>
                <w:szCs w:val="20"/>
                <w:color w:val="auto"/>
              </w:rPr>
            </w:pPr>
            <w:r>
              <w:rPr>
                <w:rFonts w:ascii="Arial" w:cs="Arial" w:eastAsia="Arial" w:hAnsi="Arial"/>
                <w:sz w:val="6"/>
                <w:szCs w:val="6"/>
                <w:b w:val="1"/>
                <w:bCs w:val="1"/>
                <w:color w:val="auto"/>
              </w:rPr>
              <w:t>Security</w:t>
            </w: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line="54" w:lineRule="exact"/>
              <w:rPr>
                <w:sz w:val="20"/>
                <w:szCs w:val="20"/>
                <w:color w:val="auto"/>
              </w:rPr>
            </w:pPr>
            <w:r>
              <w:rPr>
                <w:rFonts w:ascii="Arial" w:cs="Arial" w:eastAsia="Arial" w:hAnsi="Arial"/>
                <w:sz w:val="6"/>
                <w:szCs w:val="6"/>
                <w:b w:val="1"/>
                <w:bCs w:val="1"/>
                <w:color w:val="auto"/>
              </w:rPr>
              <w:t>(A) or</w:t>
            </w: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Security (Instr.</w:t>
            </w:r>
          </w:p>
        </w:tc>
        <w:tc>
          <w:tcPr>
            <w:tcW w:w="640" w:type="dxa"/>
            <w:vAlign w:val="bottom"/>
          </w:tcPr>
          <w:p>
            <w:pPr>
              <w:spacing w:after="0"/>
              <w:rPr>
                <w:sz w:val="4"/>
                <w:szCs w:val="4"/>
                <w:color w:val="auto"/>
              </w:rPr>
            </w:pPr>
          </w:p>
        </w:tc>
        <w:tc>
          <w:tcPr>
            <w:tcW w:w="1020" w:type="dxa"/>
            <w:vAlign w:val="bottom"/>
            <w:gridSpan w:val="3"/>
          </w:tcPr>
          <w:p>
            <w:pPr>
              <w:ind w:left="80"/>
              <w:spacing w:after="0" w:line="54" w:lineRule="exact"/>
              <w:rPr>
                <w:sz w:val="20"/>
                <w:szCs w:val="20"/>
                <w:color w:val="auto"/>
              </w:rPr>
            </w:pPr>
            <w:r>
              <w:rPr>
                <w:rFonts w:ascii="Arial" w:cs="Arial" w:eastAsia="Arial" w:hAnsi="Arial"/>
                <w:sz w:val="6"/>
                <w:szCs w:val="6"/>
                <w:b w:val="1"/>
                <w:bCs w:val="1"/>
                <w:color w:val="auto"/>
              </w:rPr>
              <w:t>Following</w:t>
            </w:r>
          </w:p>
        </w:tc>
        <w:tc>
          <w:tcPr>
            <w:tcW w:w="700" w:type="dxa"/>
            <w:vAlign w:val="bottom"/>
          </w:tcPr>
          <w:p>
            <w:pPr>
              <w:ind w:left="20"/>
              <w:spacing w:after="0" w:line="54" w:lineRule="exact"/>
              <w:rPr>
                <w:sz w:val="20"/>
                <w:szCs w:val="20"/>
                <w:color w:val="auto"/>
              </w:rPr>
            </w:pPr>
            <w:r>
              <w:rPr>
                <w:rFonts w:ascii="Arial" w:cs="Arial" w:eastAsia="Arial" w:hAnsi="Arial"/>
                <w:sz w:val="6"/>
                <w:szCs w:val="6"/>
                <w:b w:val="1"/>
                <w:bCs w:val="1"/>
                <w:color w:val="auto"/>
              </w:rPr>
              <w:t>(I) (Instr. 4)</w:t>
            </w: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10300" w:type="dxa"/>
            <w:vAlign w:val="bottom"/>
            <w:gridSpan w:val="17"/>
          </w:tcPr>
          <w:p>
            <w:pPr>
              <w:ind w:left="40"/>
              <w:spacing w:after="0" w:line="93" w:lineRule="exact"/>
              <w:rPr>
                <w:sz w:val="20"/>
                <w:szCs w:val="20"/>
                <w:color w:val="auto"/>
              </w:rPr>
            </w:pPr>
            <w:r>
              <w:rPr>
                <w:rFonts w:ascii="Times New Roman" w:cs="Times New Roman" w:eastAsia="Times New Roman" w:hAnsi="Times New Roman"/>
                <w:sz w:val="10"/>
                <w:szCs w:val="10"/>
                <w:color w:val="008000"/>
              </w:rPr>
              <w:t>Financial GP"), a Delaware limited liability company, is the general partner of QVT and may be deemed to beneficially own the same number of Common Shares reported by QVT.</w:t>
            </w: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line="53" w:lineRule="exact"/>
              <w:rPr>
                <w:sz w:val="20"/>
                <w:szCs w:val="20"/>
                <w:color w:val="auto"/>
              </w:rPr>
            </w:pPr>
            <w:r>
              <w:rPr>
                <w:rFonts w:ascii="Arial" w:cs="Arial" w:eastAsia="Arial" w:hAnsi="Arial"/>
                <w:sz w:val="6"/>
                <w:szCs w:val="6"/>
                <w:b w:val="1"/>
                <w:bCs w:val="1"/>
                <w:color w:val="auto"/>
              </w:rPr>
              <w:t>Disposed</w:t>
            </w: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gridSpan w:val="2"/>
          </w:tcPr>
          <w:p>
            <w:pPr>
              <w:ind w:left="60"/>
              <w:spacing w:after="0" w:line="53" w:lineRule="exact"/>
              <w:rPr>
                <w:sz w:val="20"/>
                <w:szCs w:val="20"/>
                <w:color w:val="auto"/>
              </w:rPr>
            </w:pPr>
            <w:r>
              <w:rPr>
                <w:rFonts w:ascii="Arial" w:cs="Arial" w:eastAsia="Arial" w:hAnsi="Arial"/>
                <w:sz w:val="6"/>
                <w:szCs w:val="6"/>
                <w:b w:val="1"/>
                <w:bCs w:val="1"/>
                <w:color w:val="auto"/>
              </w:rPr>
              <w:t>3 and 4)</w:t>
            </w:r>
          </w:p>
        </w:tc>
        <w:tc>
          <w:tcPr>
            <w:tcW w:w="640" w:type="dxa"/>
            <w:vAlign w:val="bottom"/>
          </w:tcPr>
          <w:p>
            <w:pPr>
              <w:spacing w:after="0"/>
              <w:rPr>
                <w:sz w:val="4"/>
                <w:szCs w:val="4"/>
                <w:color w:val="auto"/>
              </w:rPr>
            </w:pPr>
          </w:p>
        </w:tc>
        <w:tc>
          <w:tcPr>
            <w:tcW w:w="1020" w:type="dxa"/>
            <w:vAlign w:val="bottom"/>
            <w:gridSpan w:val="3"/>
          </w:tcPr>
          <w:p>
            <w:pPr>
              <w:ind w:left="80"/>
              <w:spacing w:after="0" w:line="53" w:lineRule="exact"/>
              <w:rPr>
                <w:sz w:val="20"/>
                <w:szCs w:val="20"/>
                <w:color w:val="auto"/>
              </w:rPr>
            </w:pPr>
            <w:r>
              <w:rPr>
                <w:rFonts w:ascii="Arial" w:cs="Arial" w:eastAsia="Arial" w:hAnsi="Arial"/>
                <w:sz w:val="6"/>
                <w:szCs w:val="6"/>
                <w:b w:val="1"/>
                <w:bCs w:val="1"/>
                <w:color w:val="auto"/>
              </w:rPr>
              <w:t>Reported</w:t>
            </w: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line="121"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gridSpan w:val="3"/>
          </w:tcPr>
          <w:p>
            <w:pPr>
              <w:ind w:left="80"/>
              <w:spacing w:after="0" w:line="121"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11080" w:type="dxa"/>
            <w:vAlign w:val="bottom"/>
            <w:gridSpan w:val="18"/>
          </w:tcPr>
          <w:p>
            <w:pPr>
              <w:ind w:left="40"/>
              <w:spacing w:after="0" w:line="27" w:lineRule="exact"/>
              <w:rPr>
                <w:sz w:val="20"/>
                <w:szCs w:val="20"/>
                <w:color w:val="auto"/>
              </w:rPr>
            </w:pPr>
            <w:r>
              <w:rPr>
                <w:rFonts w:ascii="Times New Roman" w:cs="Times New Roman" w:eastAsia="Times New Roman" w:hAnsi="Times New Roman"/>
                <w:sz w:val="3"/>
                <w:szCs w:val="3"/>
                <w:color w:val="008000"/>
              </w:rPr>
              <w:t>2. QVT provides certain investment advisory services for, and thereby may be deemed to beneficially own the Common Shares held by, QVT P&amp;E, QVT DCH and QVT FIC. QVT disclaims beneficial</w:t>
            </w:r>
          </w:p>
        </w:tc>
        <w:tc>
          <w:tcPr>
            <w:tcW w:w="0" w:type="dxa"/>
            <w:vAlign w:val="bottom"/>
          </w:tcPr>
          <w:p>
            <w:pPr>
              <w:spacing w:after="0" w:line="20" w:lineRule="exact"/>
              <w:rPr>
                <w:sz w:val="1"/>
                <w:szCs w:val="1"/>
                <w:color w:val="auto"/>
              </w:rPr>
            </w:pPr>
          </w:p>
        </w:tc>
      </w:tr>
      <w:tr>
        <w:trPr>
          <w:trHeight w:val="107"/>
        </w:trPr>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line="107"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20" w:type="dxa"/>
            <w:vAlign w:val="bottom"/>
            <w:gridSpan w:val="3"/>
          </w:tcPr>
          <w:p>
            <w:pPr>
              <w:ind w:left="80"/>
              <w:spacing w:after="0" w:line="107" w:lineRule="exact"/>
              <w:rPr>
                <w:sz w:val="20"/>
                <w:szCs w:val="20"/>
                <w:color w:val="auto"/>
              </w:rPr>
            </w:pPr>
            <w:r>
              <w:rPr>
                <w:rFonts w:ascii="Arial" w:cs="Arial" w:eastAsia="Arial" w:hAnsi="Arial"/>
                <w:sz w:val="12"/>
                <w:szCs w:val="12"/>
                <w:b w:val="1"/>
                <w:bCs w:val="1"/>
                <w:color w:val="auto"/>
              </w:rPr>
              <w:t>(Instr. 4)</w:t>
            </w: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11080" w:type="dxa"/>
            <w:vAlign w:val="bottom"/>
            <w:gridSpan w:val="18"/>
          </w:tcPr>
          <w:p>
            <w:pPr>
              <w:ind w:left="40"/>
              <w:spacing w:after="0" w:line="40" w:lineRule="exact"/>
              <w:rPr>
                <w:sz w:val="20"/>
                <w:szCs w:val="20"/>
                <w:color w:val="auto"/>
              </w:rPr>
            </w:pPr>
            <w:r>
              <w:rPr>
                <w:rFonts w:ascii="Times New Roman" w:cs="Times New Roman" w:eastAsia="Times New Roman" w:hAnsi="Times New Roman"/>
                <w:sz w:val="4"/>
                <w:szCs w:val="4"/>
                <w:color w:val="008000"/>
              </w:rPr>
              <w:t>ownership of such Common Shares, except to the extent of any pecuniary interest therein, and the inclusion of these Common Shares in this report shall not be deemed an admission of beneficial</w:t>
            </w:r>
          </w:p>
        </w:tc>
        <w:tc>
          <w:tcPr>
            <w:tcW w:w="0" w:type="dxa"/>
            <w:vAlign w:val="bottom"/>
          </w:tcPr>
          <w:p>
            <w:pPr>
              <w:spacing w:after="0" w:line="20" w:lineRule="exact"/>
              <w:rPr>
                <w:sz w:val="1"/>
                <w:szCs w:val="1"/>
                <w:color w:val="auto"/>
              </w:rPr>
            </w:pPr>
          </w:p>
        </w:tc>
      </w:tr>
      <w:tr>
        <w:trPr>
          <w:trHeight w:val="93"/>
        </w:trPr>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line="93" w:lineRule="exact"/>
              <w:rPr>
                <w:sz w:val="20"/>
                <w:szCs w:val="20"/>
                <w:color w:val="auto"/>
              </w:rPr>
            </w:pPr>
            <w:r>
              <w:rPr>
                <w:rFonts w:ascii="Arial" w:cs="Arial" w:eastAsia="Arial" w:hAnsi="Arial"/>
                <w:sz w:val="10"/>
                <w:szCs w:val="10"/>
                <w:b w:val="1"/>
                <w:bCs w:val="1"/>
                <w:color w:val="auto"/>
              </w:rPr>
              <w:t>and 5)</w:t>
            </w: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6180" w:type="dxa"/>
            <w:vAlign w:val="bottom"/>
            <w:gridSpan w:val="8"/>
          </w:tcPr>
          <w:p>
            <w:pPr>
              <w:ind w:left="40"/>
              <w:spacing w:after="0" w:line="146" w:lineRule="exact"/>
              <w:rPr>
                <w:sz w:val="20"/>
                <w:szCs w:val="20"/>
                <w:color w:val="auto"/>
              </w:rPr>
            </w:pPr>
            <w:r>
              <w:rPr>
                <w:rFonts w:ascii="Times New Roman" w:cs="Times New Roman" w:eastAsia="Times New Roman" w:hAnsi="Times New Roman"/>
                <w:sz w:val="13"/>
                <w:szCs w:val="13"/>
                <w:color w:val="008000"/>
              </w:rPr>
              <w:t>ownership of all of the reported Common Shares for purposes of Section 16 or for any other purpose.</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Borders>
              <w:bottom w:val="single" w:sz="8" w:color="auto"/>
            </w:tcBorders>
            <w:gridSpan w:val="2"/>
          </w:tcPr>
          <w:p>
            <w:pPr>
              <w:spacing w:after="0" w:line="188" w:lineRule="exact"/>
              <w:rPr>
                <w:sz w:val="20"/>
                <w:szCs w:val="20"/>
                <w:color w:val="auto"/>
              </w:rPr>
            </w:pPr>
            <w:r>
              <w:rPr>
                <w:rFonts w:ascii="Times New Roman" w:cs="Times New Roman" w:eastAsia="Times New Roman" w:hAnsi="Times New Roman"/>
                <w:sz w:val="17"/>
                <w:szCs w:val="17"/>
                <w:color w:val="0000FF"/>
              </w:rPr>
              <w:t>/s/ Meg Eisner</w:t>
            </w: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Borders>
              <w:bottom w:val="single" w:sz="8" w:color="auto"/>
            </w:tcBorders>
          </w:tcPr>
          <w:p>
            <w:pPr>
              <w:spacing w:after="0" w:line="188" w:lineRule="exact"/>
              <w:rPr>
                <w:sz w:val="20"/>
                <w:szCs w:val="20"/>
                <w:color w:val="auto"/>
              </w:rPr>
            </w:pPr>
            <w:r>
              <w:rPr>
                <w:rFonts w:ascii="Times New Roman" w:cs="Times New Roman" w:eastAsia="Times New Roman" w:hAnsi="Times New Roman"/>
                <w:sz w:val="17"/>
                <w:szCs w:val="17"/>
                <w:color w:val="0000FF"/>
                <w:highlight w:val="white"/>
              </w:rPr>
              <w:t>06/30/2026</w:t>
            </w: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0" w:type="dxa"/>
            <w:vAlign w:val="bottom"/>
            <w:gridSpan w:val="4"/>
          </w:tcPr>
          <w:p>
            <w:pPr>
              <w:spacing w:after="0"/>
              <w:rPr>
                <w:sz w:val="20"/>
                <w:szCs w:val="20"/>
                <w:color w:val="auto"/>
              </w:rPr>
            </w:pPr>
            <w:r>
              <w:rPr>
                <w:rFonts w:ascii="Arial" w:cs="Arial" w:eastAsia="Arial" w:hAnsi="Arial"/>
                <w:sz w:val="13"/>
                <w:szCs w:val="13"/>
                <w:color w:val="auto"/>
              </w:rPr>
              <w:t>** Signature of Reporting Person</w:t>
            </w:r>
          </w:p>
        </w:tc>
        <w:tc>
          <w:tcPr>
            <w:tcW w:w="1020" w:type="dxa"/>
            <w:vAlign w:val="bottom"/>
            <w:gridSpan w:val="3"/>
          </w:tcPr>
          <w:p>
            <w:pPr>
              <w:ind w:left="200"/>
              <w:spacing w:after="0"/>
              <w:rPr>
                <w:sz w:val="20"/>
                <w:szCs w:val="20"/>
                <w:color w:val="auto"/>
              </w:rPr>
            </w:pPr>
            <w:r>
              <w:rPr>
                <w:rFonts w:ascii="Arial" w:cs="Arial" w:eastAsia="Arial" w:hAnsi="Arial"/>
                <w:sz w:val="13"/>
                <w:szCs w:val="13"/>
                <w:color w:val="auto"/>
              </w:rPr>
              <w:t>Date</w:t>
            </w: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6180" w:type="dxa"/>
            <w:vAlign w:val="bottom"/>
            <w:gridSpan w:val="8"/>
            <w:vMerge w:val="restart"/>
          </w:tcPr>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6180" w:type="dxa"/>
            <w:vAlign w:val="bottom"/>
            <w:gridSpan w:val="8"/>
            <w:vMerge w:val="continue"/>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60" w:type="dxa"/>
            <w:vAlign w:val="bottom"/>
            <w:gridSpan w:val="2"/>
            <w:vMerge w:val="restart"/>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4680" w:type="dxa"/>
            <w:vAlign w:val="bottom"/>
            <w:gridSpan w:val="6"/>
            <w:vMerge w:val="restart"/>
          </w:tcPr>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66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4680" w:type="dxa"/>
            <w:vAlign w:val="bottom"/>
            <w:gridSpan w:val="6"/>
            <w:vMerge w:val="continue"/>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1"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21"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7940" w:type="dxa"/>
            <w:vAlign w:val="bottom"/>
            <w:gridSpan w:val="12"/>
          </w:tcPr>
          <w:p>
            <w:pPr>
              <w:ind w:left="40"/>
              <w:spacing w:after="0" w:line="54" w:lineRule="exact"/>
              <w:rPr>
                <w:sz w:val="20"/>
                <w:szCs w:val="20"/>
                <w:color w:val="auto"/>
              </w:rPr>
            </w:pPr>
            <w:r>
              <w:rPr>
                <w:rFonts w:ascii="Arial" w:cs="Arial" w:eastAsia="Arial" w:hAnsi="Arial"/>
                <w:sz w:val="6"/>
                <w:szCs w:val="6"/>
                <w:color w:val="auto"/>
              </w:rPr>
              <w:t xml:space="preserve">** Intentional misstatements or omissions of facts constitute Federal Criminal Violations </w:t>
            </w:r>
            <w:r>
              <w:rPr>
                <w:rFonts w:ascii="Arial" w:cs="Arial" w:eastAsia="Arial" w:hAnsi="Arial"/>
                <w:sz w:val="6"/>
                <w:szCs w:val="6"/>
                <w:i w:val="1"/>
                <w:iCs w:val="1"/>
                <w:color w:val="auto"/>
              </w:rPr>
              <w:t>See</w:t>
            </w:r>
            <w:r>
              <w:rPr>
                <w:rFonts w:ascii="Arial" w:cs="Arial" w:eastAsia="Arial" w:hAnsi="Arial"/>
                <w:sz w:val="6"/>
                <w:szCs w:val="6"/>
                <w:color w:val="auto"/>
              </w:rPr>
              <w:t xml:space="preserve"> 18 U.S.C. 1001 and 15 U.S.C. 78ff(a).</w:t>
            </w: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ind w:left="60"/>
              <w:spacing w:after="0" w:line="80" w:lineRule="exact"/>
              <w:rPr>
                <w:sz w:val="20"/>
                <w:szCs w:val="20"/>
                <w:color w:val="auto"/>
              </w:rPr>
            </w:pPr>
            <w:r>
              <w:rPr>
                <w:rFonts w:ascii="Arial" w:cs="Arial" w:eastAsia="Arial" w:hAnsi="Arial"/>
                <w:sz w:val="8"/>
                <w:szCs w:val="8"/>
                <w:b w:val="1"/>
                <w:bCs w:val="1"/>
                <w:color w:val="auto"/>
              </w:rPr>
              <w:t>Code</w:t>
            </w:r>
          </w:p>
        </w:tc>
        <w:tc>
          <w:tcPr>
            <w:tcW w:w="460" w:type="dxa"/>
            <w:vAlign w:val="bottom"/>
          </w:tcPr>
          <w:p>
            <w:pPr>
              <w:ind w:left="60"/>
              <w:spacing w:after="0" w:line="80" w:lineRule="exact"/>
              <w:rPr>
                <w:sz w:val="20"/>
                <w:szCs w:val="20"/>
                <w:color w:val="auto"/>
              </w:rPr>
            </w:pPr>
            <w:r>
              <w:rPr>
                <w:rFonts w:ascii="Arial" w:cs="Arial" w:eastAsia="Arial" w:hAnsi="Arial"/>
                <w:sz w:val="8"/>
                <w:szCs w:val="8"/>
                <w:b w:val="1"/>
                <w:bCs w:val="1"/>
                <w:color w:val="auto"/>
              </w:rPr>
              <w:t>V</w:t>
            </w:r>
          </w:p>
        </w:tc>
        <w:tc>
          <w:tcPr>
            <w:tcW w:w="660" w:type="dxa"/>
            <w:vAlign w:val="bottom"/>
          </w:tcPr>
          <w:p>
            <w:pPr>
              <w:spacing w:after="0" w:line="80" w:lineRule="exact"/>
              <w:rPr>
                <w:sz w:val="20"/>
                <w:szCs w:val="20"/>
                <w:color w:val="auto"/>
              </w:rPr>
            </w:pPr>
            <w:r>
              <w:rPr>
                <w:rFonts w:ascii="Arial" w:cs="Arial" w:eastAsia="Arial" w:hAnsi="Arial"/>
                <w:sz w:val="8"/>
                <w:szCs w:val="8"/>
                <w:b w:val="1"/>
                <w:bCs w:val="1"/>
                <w:color w:val="auto"/>
              </w:rPr>
              <w:t>(A)   (D)</w:t>
            </w:r>
          </w:p>
        </w:tc>
        <w:tc>
          <w:tcPr>
            <w:tcW w:w="840" w:type="dxa"/>
            <w:vAlign w:val="bottom"/>
          </w:tcPr>
          <w:p>
            <w:pPr>
              <w:ind w:left="60"/>
              <w:spacing w:after="0" w:line="80" w:lineRule="exact"/>
              <w:rPr>
                <w:sz w:val="20"/>
                <w:szCs w:val="20"/>
                <w:color w:val="auto"/>
              </w:rPr>
            </w:pPr>
            <w:r>
              <w:rPr>
                <w:rFonts w:ascii="Arial" w:cs="Arial" w:eastAsia="Arial" w:hAnsi="Arial"/>
                <w:sz w:val="8"/>
                <w:szCs w:val="8"/>
                <w:b w:val="1"/>
                <w:bCs w:val="1"/>
                <w:color w:val="auto"/>
              </w:rPr>
              <w:t>Exercisable</w:t>
            </w:r>
          </w:p>
        </w:tc>
        <w:tc>
          <w:tcPr>
            <w:tcW w:w="700" w:type="dxa"/>
            <w:vAlign w:val="bottom"/>
            <w:gridSpan w:val="2"/>
          </w:tcPr>
          <w:p>
            <w:pPr>
              <w:ind w:left="40"/>
              <w:spacing w:after="0" w:line="80" w:lineRule="exact"/>
              <w:rPr>
                <w:sz w:val="20"/>
                <w:szCs w:val="20"/>
                <w:color w:val="auto"/>
              </w:rPr>
            </w:pPr>
            <w:r>
              <w:rPr>
                <w:rFonts w:ascii="Arial" w:cs="Arial" w:eastAsia="Arial" w:hAnsi="Arial"/>
                <w:sz w:val="8"/>
                <w:szCs w:val="8"/>
                <w:b w:val="1"/>
                <w:bCs w:val="1"/>
                <w:color w:val="auto"/>
              </w:rPr>
              <w:t>Date</w:t>
            </w:r>
          </w:p>
        </w:tc>
        <w:tc>
          <w:tcPr>
            <w:tcW w:w="106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Title  Shares</w:t>
            </w: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7940" w:type="dxa"/>
            <w:vAlign w:val="bottom"/>
            <w:gridSpan w:val="12"/>
          </w:tcPr>
          <w:p>
            <w:pPr>
              <w:ind w:left="40"/>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20605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4055" cy="2060575"/>
                    </a:xfrm>
                    <a:prstGeom prst="rect">
                      <a:avLst/>
                    </a:prstGeom>
                    <a:noFill/>
                  </pic:spPr>
                </pic:pic>
              </a:graphicData>
            </a:graphic>
          </wp:anchor>
        </w:drawing>
      </w: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7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5"/>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290162" TargetMode="External"/><Relationship Id="rId14" Type="http://schemas.openxmlformats.org/officeDocument/2006/relationships/hyperlink" Target="http://www.sec.gov/cgi-bin/browse-edgar?action=getcompany&amp;CIK=00016350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2026-06-30T19:00:38Z</dcterms:created>
  <dcterms:modified xsi:type="dcterms:W3CDTF">2026-06-30T19:00:38Z</dcterms:modified>
</cp:coreProperties>
</file>